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Elena Marín Cuadrado</w:t>
      </w:r>
    </w:p>
    <w:p>
      <w:pPr>
        <w:pStyle w:val="Subtitle"/>
      </w:pPr>
      <w:r>
        <w:t xml:space="preserve">Directora financiera  ·  Control de gestión y operaciones corporativas</w:t>
      </w:r>
    </w:p>
    <w:p>
      <w:pPr>
        <w:pStyle w:val="Contacto"/>
      </w:pPr>
      <w:r>
        <w:t xml:space="preserve">6XX XXX XXX   ·   elena.marin@example.com   ·   Madrid   ·   linkedin.com/in/tu-usuario</w:t>
      </w:r>
    </w:p>
    <w:p>
      <w:pPr>
        <w:pStyle w:val="Heading1"/>
      </w:pPr>
      <w:r>
        <w:t xml:space="preserve">Resumen ejecutivo</w:t>
      </w:r>
    </w:p>
    <w:p>
      <w:pPr>
        <w:pStyle w:val="Resumen"/>
      </w:pPr>
      <w:r>
        <w:t xml:space="preserve">Directiva financiera con dieciocho años de trayectoria en grupos industriales y de distribución. Ha dirigido áreas de contabilidad, tesorería y control de gestión con equipos de hasta 35 personas y ha coordinado la integración financiera de tres adquisiciones. Su estilo de dirección se apoya en la planificación, la transparencia con el comité de dirección y la formación de su equipo.</w:t>
      </w:r>
    </w:p>
    <w:p>
      <w:pPr>
        <w:pStyle w:val="Heading1"/>
      </w:pPr>
      <w:r>
        <w:t xml:space="preserve">Trayectoria profesional</w:t>
      </w:r>
    </w:p>
    <w:p>
      <w:pPr>
        <w:pStyle w:val="Puesto"/>
      </w:pPr>
      <w:r>
        <w:t xml:space="preserve">Grupo Industrial Ejemplo, S. A.  </w:t>
      </w:r>
      <w:r>
        <w:rPr>
          <w:rStyle w:val="Lugar"/>
        </w:rPr>
        <w:t xml:space="preserve">· Madrid</w:t>
      </w:r>
      <w:r>
        <w:tab/>
      </w:r>
      <w:r>
        <w:rPr>
          <w:rStyle w:val="Gris"/>
        </w:rPr>
        <w:t xml:space="preserve">2019 – Actualidad</w:t>
      </w:r>
    </w:p>
    <w:p>
      <w:pPr>
        <w:pStyle w:val="Cargo"/>
      </w:pPr>
      <w:r>
        <w:t xml:space="preserve">Directora financiera (CFO)</w:t>
      </w:r>
    </w:p>
    <w:p>
      <w:pPr>
        <w:pStyle w:val="ListBullet"/>
      </w:pPr>
      <w:r>
        <w:t xml:space="preserve">Responsable del presupuesto anual de un grupo de seis sociedades y 420 empleados, con informe mensual al comité de dirección.</w:t>
      </w:r>
    </w:p>
    <w:p>
      <w:pPr>
        <w:pStyle w:val="ListBullet"/>
      </w:pPr>
      <w:r>
        <w:t xml:space="preserve">Renegociación de la deuda del grupo con cuatro entidades de crédito y reducción del coste financiero (dato de ejemplo).</w:t>
      </w:r>
    </w:p>
    <w:p>
      <w:pPr>
        <w:pStyle w:val="ListBullet"/>
      </w:pPr>
      <w:r>
        <w:t xml:space="preserve">Implantación de un cierre contable de 8 días hábiles, frente a los 15 de partida, y coordinación de dos integraciones.</w:t>
      </w:r>
    </w:p>
    <w:p>
      <w:pPr>
        <w:pStyle w:val="Puesto"/>
      </w:pPr>
      <w:r>
        <w:t xml:space="preserve">Distribuciones Mediterráneo, S. L.  </w:t>
      </w:r>
      <w:r>
        <w:rPr>
          <w:rStyle w:val="Lugar"/>
        </w:rPr>
        <w:t xml:space="preserve">· Valencia</w:t>
      </w:r>
      <w:r>
        <w:tab/>
      </w:r>
      <w:r>
        <w:rPr>
          <w:rStyle w:val="Gris"/>
        </w:rPr>
        <w:t xml:space="preserve">2013 – 2019</w:t>
      </w:r>
    </w:p>
    <w:p>
      <w:pPr>
        <w:pStyle w:val="Cargo"/>
      </w:pPr>
      <w:r>
        <w:t xml:space="preserve">Directora de control de gestión</w:t>
      </w:r>
    </w:p>
    <w:p>
      <w:pPr>
        <w:pStyle w:val="ListBullet"/>
      </w:pPr>
      <w:r>
        <w:t xml:space="preserve">Diseño de un cuadro de mando de 40 indicadores para 12 delegaciones y coste por línea de negocio.</w:t>
      </w:r>
    </w:p>
    <w:p>
      <w:pPr>
        <w:pStyle w:val="ListBullet"/>
      </w:pPr>
      <w:r>
        <w:t xml:space="preserve">Dirección de un equipo de 14 personas de contabilidad y planificación.</w:t>
      </w:r>
    </w:p>
    <w:p>
      <w:pPr>
        <w:pStyle w:val="Puesto"/>
      </w:pPr>
      <w:r>
        <w:t xml:space="preserve">Atlas Auditores, S. L. P.  </w:t>
      </w:r>
      <w:r>
        <w:rPr>
          <w:rStyle w:val="Lugar"/>
        </w:rPr>
        <w:t xml:space="preserve">· Barcelona</w:t>
      </w:r>
      <w:r>
        <w:tab/>
      </w:r>
      <w:r>
        <w:rPr>
          <w:rStyle w:val="Gris"/>
        </w:rPr>
        <w:t xml:space="preserve">2006 – 2013</w:t>
      </w:r>
    </w:p>
    <w:p>
      <w:pPr>
        <w:pStyle w:val="Cargo"/>
      </w:pPr>
      <w:r>
        <w:t xml:space="preserve">Auditora, de ayudante a gerente</w:t>
      </w:r>
    </w:p>
    <w:p>
      <w:pPr>
        <w:pStyle w:val="ListBullet"/>
      </w:pPr>
      <w:r>
        <w:t xml:space="preserve">Auditoría de cuentas anuales de grupos industriales y de servicios, al frente de equipos de cuatro a ocho personas.</w:t>
      </w:r>
    </w:p>
    <w:p>
      <w:pPr>
        <w:pStyle w:val="Heading1"/>
      </w:pPr>
      <w:r>
        <w:t xml:space="preserve">Formación</w:t>
      </w:r>
    </w:p>
    <w:p>
      <w:pPr>
        <w:pStyle w:val="Puesto"/>
      </w:pPr>
      <w:r>
        <w:t xml:space="preserve">Máster en Dirección Financiera</w:t>
      </w:r>
      <w:r>
        <w:tab/>
      </w:r>
      <w:r>
        <w:rPr>
          <w:rStyle w:val="Gris"/>
        </w:rPr>
        <w:t xml:space="preserve">2011 – 2012</w:t>
      </w:r>
    </w:p>
    <w:p>
      <w:pPr>
        <w:pStyle w:val="Cargo"/>
      </w:pPr>
      <w:r>
        <w:t xml:space="preserve">Escuela de negocios de ejemplo</w:t>
      </w:r>
    </w:p>
    <w:p>
      <w:pPr>
        <w:pStyle w:val="Puesto"/>
      </w:pPr>
      <w:r>
        <w:t xml:space="preserve">Licenciatura en Administración y Dirección de Empresas</w:t>
      </w:r>
      <w:r>
        <w:tab/>
      </w:r>
      <w:r>
        <w:rPr>
          <w:rStyle w:val="Gris"/>
        </w:rPr>
        <w:t xml:space="preserve">2001 – 2006</w:t>
      </w:r>
    </w:p>
    <w:p>
      <w:pPr>
        <w:pStyle w:val="Cargo"/>
      </w:pPr>
      <w:r>
        <w:t xml:space="preserve">Universidad de ejemplo</w:t>
      </w:r>
    </w:p>
    <w:p>
      <w:pPr>
        <w:pStyle w:val="Heading1"/>
      </w:pPr>
      <w:r>
        <w:t xml:space="preserve">Idiomas y otros datos</w:t>
      </w:r>
    </w:p>
    <w:p>
      <w:pPr>
        <w:pStyle w:val="Normal"/>
        <w:spacing w:after="30"/>
        <w:jc w:val="center"/>
      </w:pPr>
      <w:r>
        <w:rPr>
          <w:b/>
        </w:rPr>
        <w:t xml:space="preserve">Idiomas.</w:t>
      </w:r>
      <w:r>
        <w:t xml:space="preserve">  Español (nativo)  ·  inglés (C1)  ·  francés (B1)</w:t>
      </w:r>
    </w:p>
    <w:p>
      <w:pPr>
        <w:pStyle w:val="Normal"/>
        <w:spacing w:after="30"/>
        <w:jc w:val="center"/>
      </w:pPr>
      <w:r>
        <w:rPr>
          <w:b/>
        </w:rPr>
        <w:t xml:space="preserve">Herramientas.</w:t>
      </w:r>
      <w:r>
        <w:t xml:space="preserve">  Consolidación y reporting  ·  ERP corporativo  ·  modelización financiera</w:t>
      </w:r>
    </w:p>
    <w:p>
      <w:pPr>
        <w:pStyle w:val="Normal"/>
        <w:jc w:val="center"/>
      </w:pPr>
      <w:r>
        <w:rPr>
          <w:b/>
        </w:rPr>
        <w:t xml:space="preserve">Órganos de gobierno.</w:t>
      </w:r>
      <w:r>
        <w:t xml:space="preserve">  Vocal de la comisión de auditoría de una sociedad participada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1134" w:right="1361" w:bottom="1020" w:left="1361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–"/>
      <w:lvlJc w:val="left"/>
      <w:pPr>
        <w:ind w:left="340" w:hanging="227"/>
      </w:pPr>
      <w:rPr>
        <w:rFonts w:ascii="Arial" w:hAnsi="Arial" w:cs="Arial" w:hint="default"/>
        <w:color w:val="2E3338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Georgia" w:hAnsi="Georgia" w:eastAsia="Georgia" w:cs="Georgia"/>
        <w:sz w:val="21"/>
        <w:szCs w:val="21"/>
        <w:lang w:val="es-ES" w:eastAsia="es-ES" w:bidi="ar-SA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  <w:pPr>
      <w:spacing w:after="0" w:line="276" w:lineRule="auto"/>
    </w:pPr>
    <w:rPr>
      <w:color w:val="222222"/>
    </w:rPr>
  </w:style>
  <w:style w:type="paragraph" w:styleId="Title">
    <w:name w:val="Title"/>
    <w:qFormat/>
    <w:pPr>
      <w:spacing w:before="0" w:after="50"/>
      <w:jc w:val="center"/>
    </w:pPr>
    <w:rPr>
      <w:b/>
      <w:smallCaps/>
      <w:color w:val="2E3338"/>
      <w:spacing w:val="30"/>
      <w:sz w:val="52"/>
      <w:szCs w:val="52"/>
    </w:rPr>
  </w:style>
  <w:style w:type="paragraph" w:styleId="Subtitle">
    <w:name w:val="Subtitle"/>
    <w:qFormat/>
    <w:pPr>
      <w:spacing w:after="130"/>
      <w:jc w:val="center"/>
    </w:pPr>
    <w:rPr>
      <w:i/>
      <w:color w:val="222222"/>
      <w:sz w:val="23"/>
      <w:szCs w:val="23"/>
    </w:rPr>
  </w:style>
  <w:style w:type="paragraph" w:styleId="Heading1">
    <w:name w:val="heading 1"/>
    <w:qFormat/>
    <w:pPr>
      <w:keepNext/>
      <w:pBdr>
        <w:bottom w:val="single" w:sz="4" w:space="4" w:color="BFC3C6"/>
      </w:pBdr>
      <w:spacing w:before="250" w:after="110"/>
      <w:jc w:val="center"/>
      <w:outlineLvl w:val="0"/>
    </w:pPr>
    <w:rPr>
      <w:b/>
      <w:smallCaps/>
      <w:color w:val="2E3338"/>
      <w:spacing w:val="24"/>
      <w:sz w:val="24"/>
      <w:szCs w:val="24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30"/>
      <w:ind w:left="340" w:hanging="227"/>
      <w:jc w:val="both"/>
    </w:pPr>
  </w:style>
  <w:style w:type="paragraph" w:styleId="Contacto">
    <w:name w:val="Contacto"/>
    <w:qFormat/>
    <w:pPr>
      <w:pBdr>
        <w:top w:val="double" w:sz="6" w:space="7" w:color="2E3338"/>
        <w:bottom w:val="single" w:sz="4" w:space="7" w:color="BFC3C6"/>
      </w:pBdr>
      <w:spacing w:before="0" w:after="60"/>
      <w:jc w:val="center"/>
    </w:pPr>
    <w:rPr>
      <w:color w:val="595959"/>
      <w:sz w:val="18"/>
      <w:szCs w:val="18"/>
    </w:rPr>
  </w:style>
  <w:style w:type="paragraph" w:styleId="Puesto">
    <w:name w:val="Empresa y fecha"/>
    <w:basedOn w:val="Normal"/>
    <w:next w:val="Cargo"/>
    <w:qFormat/>
    <w:pPr>
      <w:keepNext/>
      <w:tabs>
        <w:tab w:val="right" w:pos="9184"/>
      </w:tabs>
      <w:spacing w:before="110" w:after="0"/>
    </w:pPr>
    <w:rPr>
      <w:b/>
    </w:r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7"/>
      <w:szCs w:val="17"/>
    </w:rPr>
  </w:style>
  <w:style w:type="character" w:styleId="Acento">
    <w:name w:val="Acento"/>
    <w:uiPriority w:val="1"/>
    <w:qFormat/>
    <w:rPr>
      <w:color w:val="2E3338"/>
    </w:rPr>
  </w:style>
  <w:style w:type="character" w:styleId="Gris">
    <w:name w:val="Texto secundario"/>
    <w:uiPriority w:val="1"/>
    <w:qFormat/>
    <w:rPr>
      <w:color w:val="595959"/>
    </w:rPr>
  </w:style>
  <w:style w:type="character" w:styleId="Lugar">
    <w:name w:val="Lugar o centro"/>
    <w:uiPriority w:val="1"/>
    <w:qFormat/>
    <w:rPr>
      <w:b w:val="0"/>
      <w:color w:val="595959"/>
    </w:rPr>
  </w:style>
  <w:style w:type="paragraph" w:styleId="Resumen">
    <w:name w:val="Resumen ejecutivo"/>
    <w:basedOn w:val="Normal"/>
    <w:qFormat/>
    <w:pPr>
      <w:spacing w:after="20"/>
      <w:jc w:val="both"/>
    </w:pPr>
    <w:rPr>
      <w:i/>
    </w:rPr>
  </w:style>
  <w:style w:type="paragraph" w:styleId="Cargo">
    <w:name w:val="Cargo"/>
    <w:basedOn w:val="Normal"/>
    <w:next w:val="ListBullet"/>
    <w:qFormat/>
    <w:pPr>
      <w:keepNext/>
      <w:spacing w:after="40"/>
    </w:pPr>
    <w:rPr>
      <w:i/>
      <w:color w:val="2E333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ejecutivo clásico centrado (plantilla editable)</dc:title>
  <dc:subject>Plantilla de currículum editable</dc:subject>
  <dc:creator>plantillasdecurriculum.com</dc:creator>
  <cp:keywords>currículum ejecutivo, plantilla, clásico, dirección, Word</cp:keywords>
  <dc:description>Plantilla de currículum ejecutivo en Georgia, con cabecera centrada, filetes finos y títulos en versalitas.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