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Irene Castellanos Vidal</w:t>
      </w:r>
    </w:p>
    <w:p>
      <w:pPr>
        <w:pStyle w:val="Subtitle"/>
      </w:pPr>
      <w:r>
        <w:t xml:space="preserve">Consultora senior de transformación digital</w:t>
      </w:r>
    </w:p>
    <w:p>
      <w:pPr>
        <w:pStyle w:val="Contacto"/>
      </w:pPr>
      <w:r>
        <w:t xml:space="preserve">6XX XXX XXX    |    irene.castellanos@example.com    |    Madrid    |    linkedin.com/in/tu-usuario</w:t>
      </w:r>
    </w:p>
    <w:p>
      <w:pPr>
        <w:pStyle w:val="Resumen"/>
      </w:pPr>
      <w:r>
        <w:t xml:space="preserve">Quince años diseñando y dirigiendo programas de transformación en banca, energía y administración. Se mueve entre la estrategia y la ejecución: ordena el problema, construye el caso de negocio y acompaña al cliente hasta que el cambio está en producción.</w:t>
      </w:r>
    </w:p>
    <w:p>
      <w:pPr>
        <w:pStyle w:val="Heading1"/>
      </w:pPr>
      <w:r>
        <w:t xml:space="preserve">Proyectos de referencia</w:t>
      </w:r>
    </w:p>
    <w:p>
      <w:pPr>
        <w:pStyle w:val="Caso"/>
      </w:pPr>
      <w:r>
        <w:t xml:space="preserve">Rediseño del modelo de atención de un grupo energético</w:t>
      </w:r>
      <w:r>
        <w:tab/>
      </w:r>
      <w:r>
        <w:rPr>
          <w:rStyle w:val="Gris"/>
        </w:rPr>
        <w:t xml:space="preserve">2023 – 2025</w:t>
      </w:r>
    </w:p>
    <w:p>
      <w:pPr>
        <w:pStyle w:val="Rol"/>
      </w:pPr>
      <w:r>
        <w:t xml:space="preserve">Directora de programa  ·  cliente confidencial, sector energía  ·  equipo de 18 personas</w:t>
      </w:r>
    </w:p>
    <w:p>
      <w:pPr>
        <w:pStyle w:val="ListBullet"/>
      </w:pPr>
      <w:r>
        <w:rPr>
          <w:b/>
        </w:rPr>
        <w:t xml:space="preserve">Reto.</w:t>
      </w:r>
      <w:r>
        <w:t xml:space="preserve"> Cuatro canales de atención sin coordinar y un tiempo de resolución que no mejoraba desde hacía años.</w:t>
      </w:r>
    </w:p>
    <w:p>
      <w:pPr>
        <w:pStyle w:val="ListBullet"/>
      </w:pPr>
      <w:r>
        <w:rPr>
          <w:b/>
        </w:rPr>
        <w:t xml:space="preserve">Actuación.</w:t>
      </w:r>
      <w:r>
        <w:t xml:space="preserve"> Mapa de procesos, priorización de 12 iniciativas y despliegue por oleadas con el área de operaciones.</w:t>
      </w:r>
    </w:p>
    <w:p>
      <w:pPr>
        <w:pStyle w:val="ListBullet"/>
      </w:pPr>
      <w:r>
        <w:rPr>
          <w:b/>
        </w:rPr>
        <w:t xml:space="preserve">Resultado.</w:t>
      </w:r>
      <w:r>
        <w:t xml:space="preserve"> Reducción del tiempo medio de resolución en un 30 % en 14 meses (dato de ejemplo).</w:t>
      </w:r>
    </w:p>
    <w:p>
      <w:pPr>
        <w:pStyle w:val="Caso"/>
      </w:pPr>
      <w:r>
        <w:t xml:space="preserve">Plataforma de gestión de expedientes para un organismo público</w:t>
      </w:r>
      <w:r>
        <w:tab/>
      </w:r>
      <w:r>
        <w:rPr>
          <w:rStyle w:val="Gris"/>
        </w:rPr>
        <w:t xml:space="preserve">2021 – 2023</w:t>
      </w:r>
    </w:p>
    <w:p>
      <w:pPr>
        <w:pStyle w:val="Rol"/>
      </w:pPr>
      <w:r>
        <w:t xml:space="preserve">Responsable de arquitectura funcional  ·  administración autonómica  ·  equipo de 9 personas</w:t>
      </w:r>
    </w:p>
    <w:p>
      <w:pPr>
        <w:pStyle w:val="ListBullet"/>
      </w:pPr>
      <w:r>
        <w:rPr>
          <w:b/>
        </w:rPr>
        <w:t xml:space="preserve">Reto.</w:t>
      </w:r>
      <w:r>
        <w:t xml:space="preserve"> Expedientes en papel y en hojas de cálculo, con plazos de tramitación imposibles de seguir.</w:t>
      </w:r>
    </w:p>
    <w:p>
      <w:pPr>
        <w:pStyle w:val="ListBullet"/>
      </w:pPr>
      <w:r>
        <w:rPr>
          <w:b/>
        </w:rPr>
        <w:t xml:space="preserve">Actuación.</w:t>
      </w:r>
      <w:r>
        <w:t xml:space="preserve"> Definición de requisitos con 6 unidades, selección de proveedor y dirección de la implantación.</w:t>
      </w:r>
    </w:p>
    <w:p>
      <w:pPr>
        <w:pStyle w:val="ListBullet"/>
      </w:pPr>
      <w:r>
        <w:rPr>
          <w:b/>
        </w:rPr>
        <w:t xml:space="preserve">Resultado.</w:t>
      </w:r>
      <w:r>
        <w:t xml:space="preserve"> 85 % de los trámites en la plataforma al cierre del proyecto (dato de ejemplo).</w:t>
      </w:r>
    </w:p>
    <w:p>
      <w:pPr>
        <w:pStyle w:val="Caso"/>
      </w:pPr>
      <w:r>
        <w:t xml:space="preserve">Estrategia de datos de una entidad financiera mediana</w:t>
      </w:r>
      <w:r>
        <w:tab/>
      </w:r>
      <w:r>
        <w:rPr>
          <w:rStyle w:val="Gris"/>
        </w:rPr>
        <w:t xml:space="preserve">2019 – 2021</w:t>
      </w:r>
    </w:p>
    <w:p>
      <w:pPr>
        <w:pStyle w:val="Rol"/>
      </w:pPr>
      <w:r>
        <w:t xml:space="preserve">Consultora senior  ·  banca  ·  equipo de 6 personas</w:t>
      </w:r>
    </w:p>
    <w:p>
      <w:pPr>
        <w:pStyle w:val="ListBullet"/>
      </w:pPr>
      <w:r>
        <w:rPr>
          <w:b/>
        </w:rPr>
        <w:t xml:space="preserve">Reto.</w:t>
      </w:r>
      <w:r>
        <w:t xml:space="preserve"> Información de clientes dispersa en siete sistemas y sin responsables claros.</w:t>
      </w:r>
    </w:p>
    <w:p>
      <w:pPr>
        <w:pStyle w:val="ListBullet"/>
      </w:pPr>
      <w:r>
        <w:rPr>
          <w:b/>
        </w:rPr>
        <w:t xml:space="preserve">Actuación.</w:t>
      </w:r>
      <w:r>
        <w:t xml:space="preserve"> Diagnóstico de calidad del dato, diseño del modelo de gobierno y hoja de ruta a tres años.</w:t>
      </w:r>
    </w:p>
    <w:p>
      <w:pPr>
        <w:pStyle w:val="ListBullet"/>
      </w:pPr>
      <w:r>
        <w:rPr>
          <w:b/>
        </w:rPr>
        <w:t xml:space="preserve">Resultado.</w:t>
      </w:r>
      <w:r>
        <w:t xml:space="preserve"> Modelo de gobierno del dato aprobado por el comité de dirección y primera fase financiada.</w:t>
      </w:r>
    </w:p>
    <w:p>
      <w:pPr>
        <w:pStyle w:val="Heading1"/>
      </w:pPr>
      <w:r>
        <w:t xml:space="preserve">Trayectoria</w:t>
      </w:r>
    </w:p>
    <w:p>
      <w:pPr>
        <w:pStyle w:val="Puesto"/>
      </w:pPr>
      <w:r>
        <w:rPr>
          <w:b/>
        </w:rPr>
        <w:t xml:space="preserve">Gerente de consultoría</w:t>
      </w:r>
      <w:r>
        <w:t xml:space="preserve">  |  Firma de consultoría de ejemplo, Madrid</w:t>
      </w:r>
      <w:r>
        <w:tab/>
      </w:r>
      <w:r>
        <w:rPr>
          <w:rStyle w:val="Gris"/>
        </w:rPr>
        <w:t xml:space="preserve">2019 – Actualidad</w:t>
      </w:r>
    </w:p>
    <w:p>
      <w:pPr>
        <w:pStyle w:val="Puesto"/>
      </w:pPr>
      <w:r>
        <w:rPr>
          <w:b/>
        </w:rPr>
        <w:t xml:space="preserve">Consultora</w:t>
      </w:r>
      <w:r>
        <w:t xml:space="preserve">  |  Servicios Profesionales Ejemplo, S. A., Madrid</w:t>
      </w:r>
      <w:r>
        <w:tab/>
      </w:r>
      <w:r>
        <w:rPr>
          <w:rStyle w:val="Gris"/>
        </w:rPr>
        <w:t xml:space="preserve">2014 – 2019</w:t>
      </w:r>
    </w:p>
    <w:p>
      <w:pPr>
        <w:pStyle w:val="Puesto"/>
      </w:pPr>
      <w:r>
        <w:rPr>
          <w:b/>
        </w:rPr>
        <w:t xml:space="preserve">Analista de sistemas</w:t>
      </w:r>
      <w:r>
        <w:t xml:space="preserve">  |  Software Ibérico de ejemplo, S. L., Valencia</w:t>
      </w:r>
      <w:r>
        <w:tab/>
      </w:r>
      <w:r>
        <w:rPr>
          <w:rStyle w:val="Gris"/>
        </w:rPr>
        <w:t xml:space="preserve">2011 – 2014</w:t>
      </w:r>
    </w:p>
    <w:p>
      <w:pPr>
        <w:pStyle w:val="Heading1"/>
      </w:pPr>
      <w:r>
        <w:t xml:space="preserve">Formación y certificaciones</w:t>
      </w:r>
    </w:p>
    <w:p>
      <w:pPr>
        <w:pStyle w:val="Puesto"/>
        <w:spacing w:before="30"/>
      </w:pPr>
      <w:r>
        <w:rPr>
          <w:b/>
        </w:rPr>
        <w:t xml:space="preserve">MBA</w:t>
      </w:r>
      <w:r>
        <w:t xml:space="preserve">  |  Escuela de negocios de ejemplo</w:t>
      </w:r>
      <w:r>
        <w:tab/>
      </w:r>
      <w:r>
        <w:rPr>
          <w:rStyle w:val="Gris"/>
        </w:rPr>
        <w:t xml:space="preserve">2016 – 2018</w:t>
      </w:r>
    </w:p>
    <w:p>
      <w:pPr>
        <w:pStyle w:val="Puesto"/>
        <w:spacing w:before="30"/>
      </w:pPr>
      <w:r>
        <w:rPr>
          <w:b/>
        </w:rPr>
        <w:t xml:space="preserve">Ingeniería Informática</w:t>
      </w:r>
      <w:r>
        <w:t xml:space="preserve">  |  Universidad de ejemplo</w:t>
      </w:r>
      <w:r>
        <w:tab/>
      </w:r>
      <w:r>
        <w:rPr>
          <w:rStyle w:val="Gris"/>
        </w:rPr>
        <w:t xml:space="preserve">2005 – 2011</w:t>
      </w:r>
    </w:p>
    <w:p>
      <w:pPr>
        <w:pStyle w:val="Puesto"/>
        <w:spacing w:before="30"/>
      </w:pPr>
      <w:r>
        <w:rPr>
          <w:b/>
        </w:rPr>
        <w:t xml:space="preserve">Certificación en gestión de programas</w:t>
      </w:r>
      <w:r>
        <w:t xml:space="preserve">  |  Entidad de ejemplo</w:t>
      </w:r>
      <w:r>
        <w:tab/>
      </w:r>
      <w:r>
        <w:rPr>
          <w:rStyle w:val="Gris"/>
        </w:rPr>
        <w:t xml:space="preserve">2020</w:t>
      </w:r>
    </w:p>
    <w:p>
      <w:pPr>
        <w:pStyle w:val="Normal"/>
        <w:spacing w:before="100"/>
      </w:pPr>
      <w:r>
        <w:rPr>
          <w:b/>
        </w:rPr>
        <w:t xml:space="preserve">Idiomas:</w:t>
      </w:r>
      <w:r>
        <w:t xml:space="preserve"> español (nativo), inglés (C1), alemán (A2)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134" w:bottom="794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84" w:hanging="170"/>
      </w:pPr>
      <w:rPr>
        <w:rFonts w:ascii="Arial" w:hAnsi="Arial" w:cs="Arial" w:hint="default"/>
        <w:color w:val="1B2A4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pBdr>
        <w:top w:val="single" w:sz="36" w:space="12" w:color="1B2A49"/>
      </w:pBdr>
      <w:spacing w:before="0" w:after="20"/>
    </w:pPr>
    <w:rPr>
      <w:rFonts w:ascii="Georgia" w:hAnsi="Georgia" w:eastAsia="Georgia" w:cs="Georgia"/>
      <w:b/>
      <w:color w:val="1B2A49"/>
      <w:sz w:val="54"/>
      <w:szCs w:val="54"/>
    </w:rPr>
  </w:style>
  <w:style w:type="paragraph" w:styleId="Subtitle">
    <w:name w:val="Subtitle"/>
    <w:qFormat/>
    <w:pPr>
      <w:spacing w:after="40"/>
    </w:pPr>
    <w:rPr>
      <w:caps/>
      <w:color w:val="595959"/>
      <w:spacing w:val="24"/>
      <w:sz w:val="19"/>
      <w:szCs w:val="19"/>
    </w:rPr>
  </w:style>
  <w:style w:type="paragraph" w:styleId="Heading1">
    <w:name w:val="heading 1"/>
    <w:qFormat/>
    <w:pPr>
      <w:keepNext/>
      <w:spacing w:before="210" w:after="70"/>
      <w:outlineLvl w:val="0"/>
    </w:pPr>
    <w:rPr>
      <w:rFonts w:ascii="Georgia" w:hAnsi="Georgia" w:eastAsia="Georgia" w:cs="Georgia"/>
      <w:b/>
      <w:color w:val="1B2A49"/>
      <w:sz w:val="26"/>
      <w:szCs w:val="26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84" w:hanging="170"/>
      <w:jc w:val="both"/>
    </w:pPr>
  </w:style>
  <w:style w:type="paragraph" w:styleId="Contacto">
    <w:name w:val="Contacto"/>
    <w:qFormat/>
    <w:pPr>
      <w:pBdr>
        <w:bottom w:val="single" w:sz="4" w:space="7" w:color="B8C2D6"/>
      </w:pBdr>
      <w:spacing w:after="130"/>
    </w:pPr>
    <w:rPr>
      <w:color w:val="222222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638"/>
      </w:tabs>
      <w:spacing w:before="4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B2A49"/>
    </w:rPr>
  </w:style>
  <w:style w:type="character" w:styleId="Gris">
    <w:name w:val="Texto secundario"/>
    <w:uiPriority w:val="1"/>
    <w:qFormat/>
    <w:rPr>
      <w:color w:val="595959"/>
    </w:rPr>
  </w:style>
  <w:style w:type="character" w:styleId="Lugar">
    <w:name w:val="Lugar o centro"/>
    <w:uiPriority w:val="1"/>
    <w:qFormat/>
    <w:rPr>
      <w:b w:val="0"/>
      <w:color w:val="595959"/>
    </w:rPr>
  </w:style>
  <w:style w:type="paragraph" w:styleId="Resumen">
    <w:name w:val="Resumen destacado"/>
    <w:basedOn w:val="Normal"/>
    <w:qFormat/>
    <w:pPr>
      <w:pBdr>
        <w:top w:val="single" w:sz="4" w:space="7" w:color="E9EDF4"/>
        <w:left w:val="single" w:sz="36" w:space="10" w:color="1B2A49"/>
        <w:bottom w:val="single" w:sz="4" w:space="7" w:color="E9EDF4"/>
        <w:right w:val="single" w:sz="4" w:space="4" w:color="E9EDF4"/>
      </w:pBdr>
      <w:shd w:val="clear" w:color="auto" w:fill="E9EDF4"/>
      <w:spacing w:before="0" w:after="40" w:line="282" w:lineRule="auto"/>
      <w:ind w:left="240" w:right="140"/>
      <w:jc w:val="both"/>
    </w:pPr>
    <w:rPr>
      <w:rFonts w:ascii="Georgia" w:hAnsi="Georgia" w:eastAsia="Georgia" w:cs="Georgia"/>
      <w:i/>
      <w:sz w:val="21"/>
      <w:szCs w:val="21"/>
    </w:rPr>
  </w:style>
  <w:style w:type="paragraph" w:styleId="Caso">
    <w:name w:val="Caso o proyecto"/>
    <w:basedOn w:val="Normal"/>
    <w:next w:val="Rol"/>
    <w:qFormat/>
    <w:pPr>
      <w:keepNext/>
      <w:tabs>
        <w:tab w:val="right" w:pos="9638"/>
      </w:tabs>
      <w:spacing w:before="130" w:after="0"/>
    </w:pPr>
    <w:rPr>
      <w:rFonts w:ascii="Georgia" w:hAnsi="Georgia" w:eastAsia="Georgia" w:cs="Georgia"/>
      <w:b/>
      <w:sz w:val="22"/>
      <w:szCs w:val="22"/>
    </w:rPr>
  </w:style>
  <w:style w:type="paragraph" w:styleId="Rol">
    <w:name w:val="Rol del caso"/>
    <w:basedOn w:val="Normal"/>
    <w:next w:val="ListBullet"/>
    <w:qFormat/>
    <w:pPr>
      <w:keepNext/>
      <w:spacing w:after="30"/>
    </w:pPr>
    <w:rPr>
      <w:i/>
      <w:color w:val="595959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ejecutivo estilo consultoría (plantilla editable)</dc:title>
  <dc:subject>Plantilla de currículum editable</dc:subject>
  <dc:creator>plantillasdecurriculum.com</dc:creator>
  <cp:keywords>currículum ejecutivo, plantilla, consultoría, tipografía mixta, Word</cp:keywords>
  <dc:description>Plantilla de currículum de consultoría con titulares en Georgia, texto en Arial, resumen destacado y casos con reto, actuación y resultado.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