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7016"/>
        <w:gridCol w:w="3302"/>
      </w:tblGrid>
      <w:tr>
        <w:trPr>
          <w:cantSplit/>
          <w:trHeight w:val="2700" w:hRule="atLeast"/>
        </w:trPr>
        <w:tc>
          <w:tcPr>
            <w:tcW w:w="7016" w:type="dxa"/>
            <w:shd w:val="clear" w:color="auto" w:fill="4A2150"/>
            <w:tcMar>
              <w:top w:w="430" w:type="dxa"/>
              <w:left w:w="400" w:type="dxa"/>
              <w:bottom w:w="430" w:type="dxa"/>
              <w:right w:w="200" w:type="dxa"/>
            </w:tcMar>
            <w:vAlign w:val="center"/>
          </w:tcPr>
          <w:p>
            <w:pPr>
              <w:pStyle w:val="Title"/>
            </w:pPr>
            <w:r>
              <w:t xml:space="preserve">Nerea Quintana Arce</w:t>
            </w:r>
          </w:p>
          <w:p>
            <w:pPr>
              <w:pStyle w:val="Subtitle"/>
            </w:pPr>
            <w:r>
              <w:t xml:space="preserve">Responsable de marketing digital</w:t>
            </w:r>
          </w:p>
        </w:tc>
        <w:tc>
          <w:tcPr>
            <w:tcW w:w="3302" w:type="dxa"/>
            <w:tcBorders>
              <w:left w:val="single" w:sz="8" w:space="0" w:color="F4A261"/>
            </w:tcBorders>
            <w:shd w:val="clear" w:color="auto" w:fill="4A2150"/>
            <w:tcMar>
              <w:top w:w="430" w:type="dxa"/>
              <w:left w:w="300" w:type="dxa"/>
              <w:bottom w:w="380" w:type="dxa"/>
              <w:right w:w="200" w:type="dxa"/>
            </w:tcMar>
            <w:vAlign w:val="center"/>
          </w:tcPr>
          <w:p>
            <w:pPr>
              <w:pStyle w:val="ContactoBloque"/>
            </w:pPr>
            <w:r>
              <w:t xml:space="preserve">6XX XXX XXX</w:t>
            </w:r>
          </w:p>
          <w:p>
            <w:pPr>
              <w:pStyle w:val="ContactoBloque"/>
            </w:pPr>
            <w:r>
              <w:t xml:space="preserve">nerea.quintana@example.com</w:t>
            </w:r>
          </w:p>
          <w:p>
            <w:pPr>
              <w:pStyle w:val="ContactoBloque"/>
            </w:pPr>
            <w:r>
              <w:t xml:space="preserve">Valencia</w:t>
            </w:r>
          </w:p>
          <w:p>
            <w:pPr>
              <w:pStyle w:val="ContactoBloque"/>
            </w:pPr>
            <w:r>
              <w:t xml:space="preserve">linkedin.example.com/in/nerea</w:t>
            </w:r>
          </w:p>
        </w:tc>
      </w:tr>
      <w:tr>
        <w:trPr>
          <w:cantSplit/>
          <w:trHeight w:val="110" w:hRule="exact"/>
        </w:trPr>
        <w:tc>
          <w:tcPr>
            <w:tcW w:w="10318" w:type="dxa"/>
            <w:gridSpan w:val="2"/>
            <w:shd w:val="clear" w:color="auto" w:fill="F4A261"/>
          </w:tcPr>
          <w:p>
            <w:pPr>
              <w:pStyle w:val="Sep"/>
            </w:pPr>
          </w:p>
        </w:tc>
      </w:tr>
    </w:tbl>
    <w:p>
      <w:pPr>
        <w:pStyle w:val="Perfil"/>
      </w:pPr>
      <w:r>
        <w:t xml:space="preserve">Responsable de marketing digital con ocho años de experiencia en comercio electrónico y servicios. Une análisis de datos y creatividad para hacer crecer los canales de captación con presupuestos ajustados. Busca un equipo pequeño donde liderar la estrategia de captación y fidelización.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Responsable de marketing digital</w:t>
      </w:r>
      <w:r>
        <w:t xml:space="preserve"> · Tienda Ejemplo S. L., Valencia</w:t>
      </w:r>
      <w:r>
        <w:tab/>
      </w:r>
      <w:r>
        <w:rPr>
          <w:rStyle w:val="Fecha"/>
        </w:rPr>
        <w:t xml:space="preserve">2022 – Actualidad</w:t>
      </w:r>
    </w:p>
    <w:p>
      <w:pPr>
        <w:pStyle w:val="ListBullet"/>
      </w:pPr>
      <w:r>
        <w:t xml:space="preserve">Dirige un equipo de tres personas y un presupuesto anual de medios de 120.000 €.</w:t>
      </w:r>
    </w:p>
    <w:p>
      <w:pPr>
        <w:pStyle w:val="ListBullet"/>
      </w:pPr>
      <w:r>
        <w:t xml:space="preserve">Rediseñó el embudo de correo electrónico: la tasa de apertura pasó del 21 % al 34 %.</w:t>
      </w:r>
    </w:p>
    <w:p>
      <w:pPr>
        <w:pStyle w:val="ListBullet"/>
      </w:pPr>
      <w:r>
        <w:t xml:space="preserve">Coordina la agencia externa de publicidad de pago y el calendario de campañas estacionales.</w:t>
      </w:r>
    </w:p>
    <w:p>
      <w:pPr>
        <w:pStyle w:val="Puesto"/>
      </w:pPr>
      <w:r>
        <w:rPr>
          <w:b/>
        </w:rPr>
        <w:t xml:space="preserve">Especialista en SEO y contenidos</w:t>
      </w:r>
      <w:r>
        <w:t xml:space="preserve"> · Agencia Faro, Valencia</w:t>
      </w:r>
      <w:r>
        <w:tab/>
      </w:r>
      <w:r>
        <w:rPr>
          <w:rStyle w:val="Fecha"/>
        </w:rPr>
        <w:t xml:space="preserve">2019 – 2022</w:t>
      </w:r>
    </w:p>
    <w:p>
      <w:pPr>
        <w:pStyle w:val="ListBullet"/>
      </w:pPr>
      <w:r>
        <w:t xml:space="preserve">Planes de contenidos y auditorías técnicas trimestrales para nueve clientes.</w:t>
      </w:r>
    </w:p>
    <w:p>
      <w:pPr>
        <w:pStyle w:val="ListBullet"/>
      </w:pPr>
      <w:r>
        <w:t xml:space="preserve">Formó a dos personas junior en analítica web y redacción para buscadores.</w:t>
      </w:r>
    </w:p>
    <w:p>
      <w:pPr>
        <w:pStyle w:val="Puesto"/>
      </w:pPr>
      <w:r>
        <w:rPr>
          <w:b/>
        </w:rPr>
        <w:t xml:space="preserve">Técnica de comunicación</w:t>
      </w:r>
      <w:r>
        <w:t xml:space="preserve"> · Asociación Cultural Ejemplo, Valencia</w:t>
      </w:r>
      <w:r>
        <w:tab/>
      </w:r>
      <w:r>
        <w:rPr>
          <w:rStyle w:val="Fecha"/>
        </w:rPr>
        <w:t xml:space="preserve">2017 – 2019</w:t>
      </w:r>
    </w:p>
    <w:p>
      <w:pPr>
        <w:pStyle w:val="ListBullet"/>
      </w:pPr>
      <w:r>
        <w:t xml:space="preserve">Boletín mensual, redes sociales y notas de prensa de las actividades de la entidad.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Máster en Marketing Digital</w:t>
      </w:r>
      <w:r>
        <w:t xml:space="preserve"> (60 créditos) · Universidad de Ejemplo</w:t>
      </w:r>
      <w:r>
        <w:tab/>
      </w:r>
      <w:r>
        <w:rPr>
          <w:rStyle w:val="Fecha"/>
        </w:rPr>
        <w:t xml:space="preserve">2018</w:t>
      </w:r>
    </w:p>
    <w:p>
      <w:pPr>
        <w:pStyle w:val="Puesto"/>
      </w:pPr>
      <w:r>
        <w:rPr>
          <w:b/>
        </w:rPr>
        <w:t xml:space="preserve">Grado en Publicidad y Relaciones Públicas</w:t>
      </w:r>
      <w:r>
        <w:t xml:space="preserve"> · Universidad de Ejemplo</w:t>
      </w:r>
      <w:r>
        <w:tab/>
      </w:r>
      <w:r>
        <w:rPr>
          <w:rStyle w:val="Fecha"/>
        </w:rPr>
        <w:t xml:space="preserve">2013 – 2017</w:t>
      </w:r>
    </w:p>
    <w:p>
      <w:pPr>
        <w:pStyle w:val="Heading1"/>
      </w:pPr>
      <w:r>
        <w:t xml:space="preserve">Proyectos destacados</w:t>
      </w:r>
    </w:p>
    <w:p>
      <w:pPr>
        <w:pStyle w:val="Puesto"/>
      </w:pPr>
      <w:r>
        <w:rPr>
          <w:b/>
        </w:rPr>
        <w:t xml:space="preserve">Lanzamiento de la tienda en línea de la marca de cosmética natural</w:t>
      </w:r>
      <w:r>
        <w:tab/>
      </w:r>
      <w:r>
        <w:rPr>
          <w:rStyle w:val="Fecha"/>
        </w:rPr>
        <w:t xml:space="preserve">2023</w:t>
      </w:r>
    </w:p>
    <w:p>
      <w:pPr>
        <w:pStyle w:val="Normal"/>
        <w:spacing w:after="40"/>
      </w:pPr>
      <w:r>
        <w:t xml:space="preserve">Estrategia de captación, calendario de campañas y medición. Primer trimestre con un 18 % de clientes recurrentes.</w:t>
      </w:r>
    </w:p>
    <w:p>
      <w:pPr>
        <w:pStyle w:val="Puesto"/>
      </w:pPr>
      <w:r>
        <w:rPr>
          <w:b/>
        </w:rPr>
        <w:t xml:space="preserve">Rediseño del boletín de una cooperativa agroalimentaria</w:t>
      </w:r>
      <w:r>
        <w:tab/>
      </w:r>
      <w:r>
        <w:rPr>
          <w:rStyle w:val="Fecha"/>
        </w:rPr>
        <w:t xml:space="preserve">2021</w:t>
      </w:r>
    </w:p>
    <w:p>
      <w:pPr>
        <w:pStyle w:val="Normal"/>
        <w:spacing w:after="100"/>
      </w:pPr>
      <w:r>
        <w:t xml:space="preserve">Nueva estructura, calendario editorial y segmentación de la lista por intereses.</w:t>
      </w:r>
    </w:p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714"/>
        <w:gridCol w:w="3714"/>
        <w:gridCol w:w="2890"/>
      </w:tblGrid>
      <w:tr>
        <w:trPr>
          <w:cantSplit/>
        </w:trPr>
        <w:tc>
          <w:tcPr>
            <w:tcW w:w="3714" w:type="dxa"/>
            <w:shd w:val="clear" w:color="auto" w:fill="4A2150"/>
            <w:tcMar>
              <w:top w:w="220" w:type="dxa"/>
              <w:left w:w="300" w:type="dxa"/>
              <w:bottom w:w="200" w:type="dxa"/>
              <w:right w:w="200" w:type="dxa"/>
            </w:tcMar>
          </w:tcPr>
          <w:p>
            <w:pPr>
              <w:pStyle w:val="PieTit"/>
            </w:pPr>
            <w:r>
              <w:t xml:space="preserve">Estrategia</w:t>
            </w:r>
          </w:p>
          <w:p>
            <w:pPr>
              <w:pStyle w:val="PieTxt"/>
            </w:pPr>
            <w:r>
              <w:t xml:space="preserve">Plan de medios</w:t>
            </w:r>
          </w:p>
          <w:p>
            <w:pPr>
              <w:pStyle w:val="PieTxt"/>
            </w:pPr>
            <w:r>
              <w:t xml:space="preserve">Embudos de conversión</w:t>
            </w:r>
          </w:p>
          <w:p>
            <w:pPr>
              <w:pStyle w:val="PieTxt"/>
            </w:pPr>
            <w:r>
              <w:t xml:space="preserve">Fidelización</w:t>
            </w:r>
          </w:p>
          <w:p>
            <w:pPr>
              <w:pStyle w:val="PieTxt"/>
            </w:pPr>
            <w:r>
              <w:t xml:space="preserve">Gestión de equipos</w:t>
            </w:r>
          </w:p>
        </w:tc>
        <w:tc>
          <w:tcPr>
            <w:tcW w:w="3714" w:type="dxa"/>
            <w:shd w:val="clear" w:color="auto" w:fill="4A2150"/>
            <w:tcMar>
              <w:top w:w="220" w:type="dxa"/>
              <w:left w:w="300" w:type="dxa"/>
              <w:bottom w:w="200" w:type="dxa"/>
              <w:right w:w="200" w:type="dxa"/>
            </w:tcMar>
          </w:tcPr>
          <w:p>
            <w:pPr>
              <w:pStyle w:val="PieTit"/>
            </w:pPr>
            <w:r>
              <w:t xml:space="preserve">Herramientas</w:t>
            </w:r>
          </w:p>
          <w:p>
            <w:pPr>
              <w:pStyle w:val="PieTxt"/>
            </w:pPr>
            <w:r>
              <w:t xml:space="preserve">Analítica web</w:t>
            </w:r>
          </w:p>
          <w:p>
            <w:pPr>
              <w:pStyle w:val="PieTxt"/>
            </w:pPr>
            <w:r>
              <w:t xml:space="preserve">Gestor de etiquetas</w:t>
            </w:r>
          </w:p>
          <w:p>
            <w:pPr>
              <w:pStyle w:val="PieTxt"/>
            </w:pPr>
            <w:r>
              <w:t xml:space="preserve">Plataforma de correo</w:t>
            </w:r>
          </w:p>
          <w:p>
            <w:pPr>
              <w:pStyle w:val="PieTxt"/>
            </w:pPr>
            <w:r>
              <w:t xml:space="preserve">Hojas de cálculo</w:t>
            </w:r>
          </w:p>
        </w:tc>
        <w:tc>
          <w:tcPr>
            <w:tcW w:w="2890" w:type="dxa"/>
            <w:shd w:val="clear" w:color="auto" w:fill="4A2150"/>
            <w:tcMar>
              <w:top w:w="220" w:type="dxa"/>
              <w:left w:w="300" w:type="dxa"/>
              <w:bottom w:w="200" w:type="dxa"/>
              <w:right w:w="200" w:type="dxa"/>
            </w:tcMar>
          </w:tcPr>
          <w:p>
            <w:pPr>
              <w:pStyle w:val="PieTit"/>
            </w:pPr>
            <w:r>
              <w:t xml:space="preserve">Idiomas</w:t>
            </w:r>
          </w:p>
          <w:p>
            <w:pPr>
              <w:pStyle w:val="PieTxt"/>
            </w:pPr>
            <w:r>
              <w:t xml:space="preserve">Español (nativo)</w:t>
            </w:r>
          </w:p>
          <w:p>
            <w:pPr>
              <w:pStyle w:val="PieTxt"/>
            </w:pPr>
            <w:r>
              <w:t xml:space="preserve">Valenciano (C1)</w:t>
            </w:r>
          </w:p>
          <w:p>
            <w:pPr>
              <w:pStyle w:val="PieTxt"/>
            </w:pPr>
            <w:r>
              <w:t xml:space="preserve">Inglés (B2)</w:t>
            </w:r>
          </w:p>
        </w:tc>
      </w:tr>
    </w:tbl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680" w:right="794" w:bottom="567" w:left="79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300" w:hanging="230"/>
      </w:pPr>
      <w:rPr>
        <w:rFonts w:ascii="Arial" w:hAnsi="Arial" w:cs="Arial" w:hint="default"/>
        <w:color w:val="4A2150"/>
        <w:sz w:val="12"/>
        <w:szCs w:val="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basedOn w:val="Normal"/>
    <w:next w:val="Normal"/>
    <w:qFormat/>
    <w:pPr>
      <w:spacing w:after="20"/>
    </w:pPr>
    <w:rPr>
      <w:rFonts w:ascii="Trebuchet MS" w:hAnsi="Trebuchet MS" w:eastAsia="Trebuchet MS" w:cs="Trebuchet MS"/>
      <w:b/>
      <w:color w:val="FFFFFF"/>
      <w:sz w:val="58"/>
      <w:szCs w:val="58"/>
    </w:rPr>
  </w:style>
  <w:style w:type="paragraph" w:styleId="Subtitle">
    <w:name w:val="Subtitle"/>
    <w:basedOn w:val="Normal"/>
    <w:next w:val="Normal"/>
    <w:qFormat/>
    <w:pPr>
      <w:spacing w:after="0"/>
    </w:pPr>
    <w:rPr>
      <w:rFonts w:ascii="Trebuchet MS" w:hAnsi="Trebuchet MS" w:eastAsia="Trebuchet MS" w:cs="Trebuchet MS"/>
      <w:color w:val="F4A261"/>
      <w:sz w:val="26"/>
      <w:szCs w:val="26"/>
    </w:rPr>
  </w:style>
  <w:style w:type="paragraph" w:styleId="Heading1">
    <w:name w:val="heading 1"/>
    <w:basedOn w:val="Normal"/>
    <w:next w:val="Normal"/>
    <w:qFormat/>
    <w:pPr>
      <w:keepNext/>
      <w:pBdr>
        <w:left w:val="single" w:sz="48" w:space="7" w:color="4A2150"/>
      </w:pBdr>
      <w:shd w:val="clear" w:color="auto" w:fill="F1E8F2"/>
      <w:spacing w:before="250" w:after="90"/>
      <w:ind w:left="120"/>
      <w:outlineLvl w:val="0"/>
    </w:pPr>
    <w:rPr>
      <w:rFonts w:ascii="Trebuchet MS" w:hAnsi="Trebuchet MS" w:eastAsia="Trebuchet MS" w:cs="Trebuchet MS"/>
      <w:b/>
      <w:caps/>
      <w:color w:val="4A2150"/>
      <w:spacing w:val="20"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spacing w:before="60" w:after="10"/>
      <w:outlineLvl w:val="1"/>
    </w:pPr>
    <w:rPr>
      <w:b/>
    </w:rPr>
  </w:style>
  <w:style w:type="paragraph" w:styleId="ListBullet">
    <w:name w:val="List Bullet"/>
    <w:basedOn w:val="Normal"/>
    <w:qFormat/>
    <w:pPr>
      <w:numPr>
        <w:ilvl w:val="0"/>
        <w:numId w:val="1"/>
      </w:numPr>
      <w:spacing w:after="35"/>
      <w:ind w:left="300" w:hanging="23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0318"/>
      </w:tabs>
      <w:spacing w:before="120" w:after="30"/>
    </w:pPr>
  </w:style>
  <w:style w:type="paragraph" w:styleId="Nota">
    <w:name w:val="Nota de plantilla"/>
    <w:basedOn w:val="Normal"/>
    <w:next w:val="Normal"/>
    <w:qFormat/>
    <w:pPr>
      <w:spacing w:before="12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4A2150"/>
    </w:rPr>
  </w:style>
  <w:style w:type="character" w:styleId="Gris">
    <w:name w:val="Texto secundario"/>
    <w:uiPriority w:val="1"/>
    <w:qFormat/>
    <w:rPr>
      <w:color w:val="595959"/>
    </w:rPr>
  </w:style>
  <w:style w:type="paragraph" w:styleId="ContactoBloque">
    <w:name w:val="Contacto en bloque"/>
    <w:basedOn w:val="Normal"/>
    <w:qFormat/>
    <w:pPr>
      <w:spacing w:after="50"/>
    </w:pPr>
    <w:rPr>
      <w:color w:val="FFFFFF"/>
      <w:sz w:val="19"/>
      <w:szCs w:val="19"/>
    </w:rPr>
  </w:style>
  <w:style w:type="character" w:styleId="Fecha">
    <w:name w:val="Fecha"/>
    <w:qFormat/>
    <w:rPr>
      <w:b/>
      <w:color w:val="4A2150"/>
    </w:rPr>
  </w:style>
  <w:style w:type="paragraph" w:styleId="PieTit">
    <w:name w:val="Pie de color: título"/>
    <w:basedOn w:val="Normal"/>
    <w:qFormat/>
    <w:pPr>
      <w:spacing w:after="40"/>
    </w:pPr>
    <w:rPr>
      <w:rFonts w:ascii="Trebuchet MS" w:hAnsi="Trebuchet MS" w:eastAsia="Trebuchet MS" w:cs="Trebuchet MS"/>
      <w:b/>
      <w:caps/>
      <w:color w:val="F4A261"/>
      <w:spacing w:val="20"/>
      <w:sz w:val="19"/>
      <w:szCs w:val="19"/>
    </w:rPr>
  </w:style>
  <w:style w:type="paragraph" w:styleId="PieTxt">
    <w:name w:val="Pie de color: texto"/>
    <w:basedOn w:val="Normal"/>
    <w:qFormat/>
    <w:pPr>
      <w:spacing w:after="10"/>
    </w:pPr>
    <w:rPr>
      <w:color w:val="FFFFFF"/>
      <w:sz w:val="20"/>
      <w:szCs w:val="20"/>
    </w:rPr>
  </w:style>
  <w:style w:type="paragraph" w:styleId="Perfil">
    <w:name w:val="Perfil destacado"/>
    <w:basedOn w:val="Normal"/>
    <w:qFormat/>
    <w:pPr>
      <w:spacing w:before="170" w:after="0" w:line="276" w:lineRule="auto"/>
    </w:pPr>
    <w:rPr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ep">
    <w:name w:val="Separador"/>
    <w:basedOn w:val="Normal"/>
    <w:uiPriority w:val="99"/>
    <w:pPr>
      <w:spacing w:before="0" w:after="0" w:line="40" w:lineRule="exact"/>
    </w:pPr>
    <w:rPr>
      <w:sz w:val="2"/>
      <w:szCs w:val="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bloque de color (plantilla editable)</dc:title>
  <dc:subject>Plantilla de currículum editable</dc:subject>
  <dc:creator>plantillasdecurriculum.com</dc:creator>
  <cp:keywords>currículum, plantilla, creativa, marketing, bloque de color</cp:keywords>
  <dc:description>Currículum con una gran cabecera de color con el nombre en tipografía grande y cuerpo en una columna.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